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color w:val="6B6395"/>
          <w:sz w:val="16"/>
          <w:szCs w:val="16"/>
        </w:rPr>
        <w:t xml:space="preserve">SafeDesk.pl — dokument obowiązkowy, stan na 2026-10-07</w:t>
      </w:r>
    </w:p>
    <w:p>
      <w:pPr>
        <w:pStyle w:val="Heading1"/>
        <w:spacing w:after="80"/>
      </w:pPr>
      <w:r>
        <w:rPr>
          <w:b/>
          <w:bCs/>
          <w:color w:val="191448"/>
          <w:sz w:val="30"/>
          <w:szCs w:val="30"/>
        </w:rPr>
        <w:t xml:space="preserve">Tabela norm przydziału odzieży i obuwia roboczego oraz środków ochrony indywidualnej</w:t>
      </w:r>
    </w:p>
    <w:p>
      <w:pPr>
        <w:spacing w:after="240"/>
      </w:pPr>
      <w:r>
        <w:rPr>
          <w:color w:val="6B6395"/>
          <w:sz w:val="17"/>
          <w:szCs w:val="17"/>
        </w:rPr>
        <w:t xml:space="preserve">Wzór do wypełnienia. Pola proponowane przez SafeDesk.pl; przepisy nie narzucają wzoru dokumentu. Objaśnienia: safedesk.pl/wzory/tabela-norm-przydzialu-odziezy-roboczej</w:t>
      </w:r>
    </w:p>
    <w:p>
      <w:pPr>
        <w:spacing w:after="120"/>
      </w:pPr>
      <w:r>
        <w:rPr>
          <w:b/>
          <w:bCs/>
          <w:color w:val="191448"/>
          <w:sz w:val="22"/>
          <w:szCs w:val="22"/>
        </w:rPr>
        <w:t xml:space="preserve">Pola dokumentu</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600"/>
        <w:gridCol w:w="5400"/>
      </w:tblGrid>
      <w:tr>
        <w:trPr>
          <w:cantSplit/>
        </w:trPr>
        <w:tc>
          <w:tcPr>
            <w:tcW w:type="pct" w:w="40%"/>
            <w:tcBorders>
              <w:top w:val="single" w:color="E2DFEC" w:sz="4"/>
              <w:left w:val="none" w:color="FFFFFF" w:sz="0"/>
              <w:bottom w:val="single" w:color="E2DFEC" w:sz="4"/>
              <w:right w:val="none" w:color="FFFFFF" w:sz="0"/>
            </w:tcBorders>
          </w:tcPr>
          <w:p>
            <w:pPr>
              <w:spacing w:after="20"/>
            </w:pPr>
            <w:r>
              <w:rPr>
                <w:b/>
                <w:bCs/>
                <w:color w:val="191448"/>
                <w:sz w:val="19"/>
                <w:szCs w:val="19"/>
              </w:rPr>
              <w:t xml:space="preserve">1. Nazwa stanowiska</w:t>
            </w:r>
          </w:p>
          <w:p>
            <w:pPr>
              <w:spacing w:after="60"/>
            </w:pPr>
            <w:r>
              <w:rPr>
                <w:color w:val="6B6395"/>
                <w:sz w:val="15"/>
                <w:szCs w:val="15"/>
              </w:rPr>
              <w:t xml:space="preserve">Podstawowa jednostka podziału — nie dział ani nie imienny wykaz.</w:t>
            </w:r>
          </w:p>
        </w:tc>
        <w:tc>
          <w:tcPr>
            <w:tcW w:type="pct" w:w="60%"/>
            <w:tcBorders>
              <w:top w:val="single" w:color="E2DFEC" w:sz="4"/>
              <w:left w:val="none" w:color="FFFFFF" w:sz="0"/>
              <w:bottom w:val="single" w:color="E2DFEC" w:sz="4"/>
              <w:right w:val="none" w:color="FFFFFF" w:sz="0"/>
            </w:tcBorders>
          </w:tcPr>
          <w:p>
            <w:r>
              <w:t xml:space="preserve"/>
            </w:r>
          </w:p>
        </w:tc>
      </w:tr>
      <w:tr>
        <w:trPr>
          <w:cantSplit/>
        </w:trPr>
        <w:tc>
          <w:tcPr>
            <w:tcW w:type="pct" w:w="40%"/>
            <w:tcBorders>
              <w:top w:val="single" w:color="E2DFEC" w:sz="4"/>
              <w:left w:val="none" w:color="FFFFFF" w:sz="0"/>
              <w:bottom w:val="single" w:color="E2DFEC" w:sz="4"/>
              <w:right w:val="none" w:color="FFFFFF" w:sz="0"/>
            </w:tcBorders>
          </w:tcPr>
          <w:p>
            <w:pPr>
              <w:spacing w:after="20"/>
            </w:pPr>
            <w:r>
              <w:rPr>
                <w:b/>
                <w:bCs/>
                <w:color w:val="191448"/>
                <w:sz w:val="19"/>
                <w:szCs w:val="19"/>
              </w:rPr>
              <w:t xml:space="preserve">2. Rodzaj przedmiotu</w:t>
            </w:r>
          </w:p>
          <w:p>
            <w:pPr>
              <w:spacing w:after="60"/>
            </w:pPr>
            <w:r>
              <w:rPr>
                <w:color w:val="6B6395"/>
                <w:sz w:val="15"/>
                <w:szCs w:val="15"/>
              </w:rPr>
              <w:t xml:space="preserve">Element wynikający z art. 237⁸ § 1 KP; z rozdzieleniem odzieży i obuwia roboczego od środków ochrony indywidualnej.</w:t>
            </w:r>
          </w:p>
        </w:tc>
        <w:tc>
          <w:tcPr>
            <w:tcW w:type="pct" w:w="60%"/>
            <w:tcBorders>
              <w:top w:val="single" w:color="E2DFEC" w:sz="4"/>
              <w:left w:val="none" w:color="FFFFFF" w:sz="0"/>
              <w:bottom w:val="single" w:color="E2DFEC" w:sz="4"/>
              <w:right w:val="none" w:color="FFFFFF" w:sz="0"/>
            </w:tcBorders>
          </w:tcPr>
          <w:p>
            <w:r>
              <w:t xml:space="preserve"/>
            </w:r>
          </w:p>
        </w:tc>
      </w:tr>
      <w:tr>
        <w:trPr>
          <w:cantSplit/>
        </w:trPr>
        <w:tc>
          <w:tcPr>
            <w:tcW w:type="pct" w:w="40%"/>
            <w:tcBorders>
              <w:top w:val="single" w:color="E2DFEC" w:sz="4"/>
              <w:left w:val="none" w:color="FFFFFF" w:sz="0"/>
              <w:bottom w:val="single" w:color="E2DFEC" w:sz="4"/>
              <w:right w:val="none" w:color="FFFFFF" w:sz="0"/>
            </w:tcBorders>
          </w:tcPr>
          <w:p>
            <w:pPr>
              <w:spacing w:after="20"/>
            </w:pPr>
            <w:r>
              <w:rPr>
                <w:b/>
                <w:bCs/>
                <w:color w:val="191448"/>
                <w:sz w:val="19"/>
                <w:szCs w:val="19"/>
              </w:rPr>
              <w:t xml:space="preserve">3. Ilość na okres</w:t>
            </w:r>
          </w:p>
          <w:p>
            <w:pPr>
              <w:spacing w:after="60"/>
            </w:pPr>
            <w:r>
              <w:rPr>
                <w:color w:val="6B6395"/>
                <w:sz w:val="15"/>
                <w:szCs w:val="15"/>
              </w:rPr>
              <w:t xml:space="preserve">Liczba sztuk lub kompletów przypadająca na jeden okres użytkowania.</w:t>
            </w:r>
          </w:p>
        </w:tc>
        <w:tc>
          <w:tcPr>
            <w:tcW w:type="pct" w:w="60%"/>
            <w:tcBorders>
              <w:top w:val="single" w:color="E2DFEC" w:sz="4"/>
              <w:left w:val="none" w:color="FFFFFF" w:sz="0"/>
              <w:bottom w:val="single" w:color="E2DFEC" w:sz="4"/>
              <w:right w:val="none" w:color="FFFFFF" w:sz="0"/>
            </w:tcBorders>
          </w:tcPr>
          <w:p>
            <w:r>
              <w:t xml:space="preserve"/>
            </w:r>
          </w:p>
        </w:tc>
      </w:tr>
      <w:tr>
        <w:trPr>
          <w:cantSplit/>
        </w:trPr>
        <w:tc>
          <w:tcPr>
            <w:tcW w:type="pct" w:w="40%"/>
            <w:tcBorders>
              <w:top w:val="single" w:color="E2DFEC" w:sz="4"/>
              <w:left w:val="none" w:color="FFFFFF" w:sz="0"/>
              <w:bottom w:val="single" w:color="E2DFEC" w:sz="4"/>
              <w:right w:val="none" w:color="FFFFFF" w:sz="0"/>
            </w:tcBorders>
          </w:tcPr>
          <w:p>
            <w:pPr>
              <w:spacing w:after="20"/>
            </w:pPr>
            <w:r>
              <w:rPr>
                <w:b/>
                <w:bCs/>
                <w:color w:val="191448"/>
                <w:sz w:val="19"/>
                <w:szCs w:val="19"/>
              </w:rPr>
              <w:t xml:space="preserve">4. Przewidywany okres użytkowania</w:t>
            </w:r>
          </w:p>
          <w:p>
            <w:pPr>
              <w:spacing w:after="60"/>
            </w:pPr>
            <w:r>
              <w:rPr>
                <w:color w:val="6B6395"/>
                <w:sz w:val="15"/>
                <w:szCs w:val="15"/>
              </w:rPr>
              <w:t xml:space="preserve">Dla odzieży i obuwia roboczego — w miesiącach (art. 237⁸ § 1 KP). Dla ŚOI — „wg instrukcji producenta / do utraty właściwości ochronnych” (zał. nr 2 § 3 ust. 3 ogólnych przepisów bhp).</w:t>
            </w:r>
          </w:p>
        </w:tc>
        <w:tc>
          <w:tcPr>
            <w:tcW w:type="pct" w:w="60%"/>
            <w:tcBorders>
              <w:top w:val="single" w:color="E2DFEC" w:sz="4"/>
              <w:left w:val="none" w:color="FFFFFF" w:sz="0"/>
              <w:bottom w:val="single" w:color="E2DFEC" w:sz="4"/>
              <w:right w:val="none" w:color="FFFFFF" w:sz="0"/>
            </w:tcBorders>
          </w:tcPr>
          <w:p>
            <w:r>
              <w:t xml:space="preserve"/>
            </w:r>
          </w:p>
        </w:tc>
      </w:tr>
      <w:tr>
        <w:trPr>
          <w:cantSplit/>
        </w:trPr>
        <w:tc>
          <w:tcPr>
            <w:tcW w:type="pct" w:w="40%"/>
            <w:tcBorders>
              <w:top w:val="single" w:color="E2DFEC" w:sz="4"/>
              <w:left w:val="none" w:color="FFFFFF" w:sz="0"/>
              <w:bottom w:val="single" w:color="E2DFEC" w:sz="4"/>
              <w:right w:val="none" w:color="FFFFFF" w:sz="0"/>
            </w:tcBorders>
          </w:tcPr>
          <w:p>
            <w:pPr>
              <w:spacing w:after="20"/>
            </w:pPr>
            <w:r>
              <w:rPr>
                <w:b/>
                <w:bCs/>
                <w:color w:val="191448"/>
                <w:sz w:val="19"/>
                <w:szCs w:val="19"/>
              </w:rPr>
              <w:t xml:space="preserve">5. Wymagana norma lub parametr</w:t>
            </w:r>
          </w:p>
          <w:p>
            <w:pPr>
              <w:spacing w:after="60"/>
            </w:pPr>
            <w:r>
              <w:rPr>
                <w:color w:val="6B6395"/>
                <w:sz w:val="15"/>
                <w:szCs w:val="15"/>
              </w:rPr>
              <w:t xml:space="preserve">Np. kategoria obuwia, klasa odzieży ostrzegawczej, poziom ochrony rękawic.</w:t>
            </w:r>
          </w:p>
        </w:tc>
        <w:tc>
          <w:tcPr>
            <w:tcW w:type="pct" w:w="60%"/>
            <w:tcBorders>
              <w:top w:val="single" w:color="E2DFEC" w:sz="4"/>
              <w:left w:val="none" w:color="FFFFFF" w:sz="0"/>
              <w:bottom w:val="single" w:color="E2DFEC" w:sz="4"/>
              <w:right w:val="none" w:color="FFFFFF" w:sz="0"/>
            </w:tcBorders>
          </w:tcPr>
          <w:p>
            <w:r>
              <w:t xml:space="preserve"/>
            </w:r>
          </w:p>
        </w:tc>
      </w:tr>
      <w:tr>
        <w:trPr>
          <w:cantSplit/>
        </w:trPr>
        <w:tc>
          <w:tcPr>
            <w:tcW w:type="pct" w:w="40%"/>
            <w:tcBorders>
              <w:top w:val="single" w:color="E2DFEC" w:sz="4"/>
              <w:left w:val="none" w:color="FFFFFF" w:sz="0"/>
              <w:bottom w:val="single" w:color="E2DFEC" w:sz="4"/>
              <w:right w:val="none" w:color="FFFFFF" w:sz="0"/>
            </w:tcBorders>
          </w:tcPr>
          <w:p>
            <w:pPr>
              <w:spacing w:after="20"/>
            </w:pPr>
            <w:r>
              <w:rPr>
                <w:b/>
                <w:bCs/>
                <w:color w:val="191448"/>
                <w:sz w:val="19"/>
                <w:szCs w:val="19"/>
              </w:rPr>
              <w:t xml:space="preserve">6. Uwagi</w:t>
            </w:r>
          </w:p>
          <w:p>
            <w:pPr>
              <w:spacing w:after="60"/>
            </w:pPr>
            <w:r>
              <w:rPr>
                <w:color w:val="6B6395"/>
                <w:sz w:val="15"/>
                <w:szCs w:val="15"/>
              </w:rPr>
              <w:t xml:space="preserve">Warunki szczególne: praca zimowa, druga zmiana, prace szczególnie niebezpieczne.</w:t>
            </w:r>
          </w:p>
        </w:tc>
        <w:tc>
          <w:tcPr>
            <w:tcW w:type="pct" w:w="60%"/>
            <w:tcBorders>
              <w:top w:val="single" w:color="E2DFEC" w:sz="4"/>
              <w:left w:val="none" w:color="FFFFFF" w:sz="0"/>
              <w:bottom w:val="single" w:color="E2DFEC" w:sz="4"/>
              <w:right w:val="none" w:color="FFFFFF" w:sz="0"/>
            </w:tcBorders>
          </w:tcPr>
          <w:p>
            <w:r>
              <w:t xml:space="preserve"/>
            </w:r>
          </w:p>
        </w:tc>
      </w:tr>
    </w:tbl>
    <w:p>
      <w:pPr>
        <w:spacing w:after="200"/>
      </w:pPr>
      <w:r>
        <w:rPr>
          <w:color w:val="191448"/>
        </w:rPr>
        <w:t xml:space="preserve"/>
      </w:r>
    </w:p>
    <w:p>
      <w:pPr>
        <w:spacing w:after="40"/>
      </w:pPr>
      <w:r>
        <w:rPr>
          <w:b/>
          <w:bCs/>
          <w:color w:val="191448"/>
          <w:sz w:val="18"/>
          <w:szCs w:val="18"/>
        </w:rPr>
        <w:t xml:space="preserve">Kto podpisuje</w:t>
      </w:r>
    </w:p>
    <w:p>
      <w:pPr>
        <w:spacing w:after="160"/>
      </w:pPr>
      <w:r>
        <w:rPr>
          <w:color w:val="191448"/>
          <w:sz w:val="18"/>
          <w:szCs w:val="18"/>
        </w:rPr>
        <w:t xml:space="preserve">Ustala pracodawca po konsultacji z pracownikami lub ich przedstawicielami (art. 237¹¹a § 1 pkt 4 KP). Gdy tabela jest częścią regulaminu pracy, obowiązuje tryb ustalania regulaminu (uzgodnienie z zakładową organizacją związkową, art. 104² KP).</w:t>
      </w:r>
    </w:p>
    <w:p>
      <w:pPr>
        <w:spacing w:after="40"/>
      </w:pPr>
      <w:r>
        <w:rPr>
          <w:b/>
          <w:bCs/>
          <w:color w:val="191448"/>
          <w:sz w:val="18"/>
          <w:szCs w:val="18"/>
        </w:rPr>
        <w:t xml:space="preserve">Okres przechowywania</w:t>
      </w:r>
    </w:p>
    <w:p>
      <w:pPr>
        <w:spacing w:after="160"/>
      </w:pPr>
      <w:r>
        <w:rPr>
          <w:color w:val="191448"/>
          <w:sz w:val="18"/>
          <w:szCs w:val="18"/>
        </w:rPr>
        <w:t xml:space="preserve">Dokument wewnętrzny obowiązujący bezterminowo; wersje archiwalne warto zachować przez okres przechowywania kart ewidencji, do których się odnoszą.</w:t>
      </w:r>
    </w:p>
    <w:p>
      <w:pPr>
        <w:spacing w:after="40"/>
      </w:pPr>
      <w:r>
        <w:rPr>
          <w:b/>
          <w:bCs/>
          <w:color w:val="191448"/>
          <w:sz w:val="18"/>
          <w:szCs w:val="18"/>
        </w:rPr>
        <w:t xml:space="preserve">Podstawa prawna</w:t>
      </w:r>
    </w:p>
    <w:p>
      <w:pPr>
        <w:spacing w:after="40"/>
      </w:pPr>
      <w:r>
        <w:rPr>
          <w:color w:val="6B6395"/>
          <w:sz w:val="16"/>
          <w:szCs w:val="16"/>
        </w:rPr>
        <w:t xml:space="preserve">• Kodeks pracy, art. 237⁸ § 1 (t.j. Dz.U. 2026 poz. 1245)</w:t>
      </w:r>
    </w:p>
    <w:p>
      <w:pPr>
        <w:spacing w:after="40"/>
      </w:pPr>
      <w:r>
        <w:rPr>
          <w:color w:val="6B6395"/>
          <w:sz w:val="16"/>
          <w:szCs w:val="16"/>
        </w:rPr>
        <w:t xml:space="preserve">• Kodeks pracy, art. 237⁹ § 1 (t.j. Dz.U. 2026 poz. 1245)</w:t>
      </w:r>
    </w:p>
    <w:p>
      <w:pPr>
        <w:spacing w:after="40"/>
      </w:pPr>
      <w:r>
        <w:rPr>
          <w:color w:val="6B6395"/>
          <w:sz w:val="16"/>
          <w:szCs w:val="16"/>
        </w:rPr>
        <w:t xml:space="preserve">• Kodeks pracy, art. 237¹¹a § 1 pkt 4 (t.j. Dz.U. 2026 poz. 1245)</w:t>
      </w:r>
    </w:p>
    <w:p>
      <w:pPr>
        <w:spacing w:after="40"/>
      </w:pPr>
      <w:r>
        <w:rPr>
          <w:color w:val="6B6395"/>
          <w:sz w:val="16"/>
          <w:szCs w:val="16"/>
        </w:rPr>
        <w:t xml:space="preserve">• Rozporządzenie MPiPS z 26.09.1997 (ogólne przepisy bhp), zał. nr 2 § 3 ust. 3 (t.j. Dz.U. 2003 nr 169 poz. 1650 ze zm.; zał. nr 2 w brzmieniu Dz.U. 2021 poz. 2088)</w:t>
      </w:r>
    </w:p>
    <w:p>
      <w:pPr>
        <w:spacing w:after="40"/>
      </w:pPr>
      <w:r>
        <w:rPr>
          <w:color w:val="6B6395"/>
          <w:sz w:val="16"/>
          <w:szCs w:val="16"/>
        </w:rPr>
        <w:t xml:space="preserve">• Rozporządzenie MPiPS z 26.09.1997 w sprawie ogólnych przepisów bezpieczeństwa i higieny pracy (Dz.U. 1997 nr 129 poz. 844, t.j. Dz.U. 2003 nr 169 poz. 1650 ze zm. (Dz.U. 2007 poz. 330, 2008 poz. 690, 2011 poz. 1034, 2021 poz. 2088, 2026 poz. 927 — od 11.01.2027))</w:t>
      </w:r>
    </w:p>
    <w:p>
      <w:pPr>
        <w:spacing w:after="600"/>
      </w:pPr>
      <w:r>
        <w:rPr>
          <w:color w:val="19144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45%"/>
            <w:tcBorders>
              <w:top w:val="single" w:color="191448" w:sz="6"/>
              <w:left w:val="none" w:color="FFFFFF" w:sz="0"/>
              <w:bottom w:val="none" w:color="FFFFFF" w:sz="0"/>
              <w:right w:val="none" w:color="FFFFFF" w:sz="0"/>
            </w:tcBorders>
          </w:tcPr>
          <w:p>
            <w:pPr>
              <w:jc w:val="center"/>
            </w:pPr>
            <w:r>
              <w:rPr>
                <w:color w:val="6B6395"/>
                <w:sz w:val="16"/>
                <w:szCs w:val="16"/>
              </w:rPr>
              <w:t xml:space="preserve">Data i podpis pracownika</w:t>
            </w:r>
          </w:p>
        </w:tc>
        <w:tc>
          <w:tcPr>
            <w:tcW w:type="pct" w:w="10%"/>
            <w:tcBorders>
              <w:top w:val="none" w:color="FFFFFF" w:sz="0"/>
              <w:left w:val="none" w:color="FFFFFF" w:sz="0"/>
              <w:bottom w:val="none" w:color="FFFFFF" w:sz="0"/>
              <w:right w:val="none" w:color="FFFFFF" w:sz="0"/>
            </w:tcBorders>
          </w:tcPr>
          <w:p>
            <w:r>
              <w:t xml:space="preserve"/>
            </w:r>
          </w:p>
        </w:tc>
        <w:tc>
          <w:tcPr>
            <w:tcW w:type="pct" w:w="45%"/>
            <w:tcBorders>
              <w:top w:val="single" w:color="191448" w:sz="6"/>
              <w:left w:val="none" w:color="FFFFFF" w:sz="0"/>
              <w:bottom w:val="none" w:color="FFFFFF" w:sz="0"/>
              <w:right w:val="none" w:color="FFFFFF" w:sz="0"/>
            </w:tcBorders>
          </w:tcPr>
          <w:p>
            <w:pPr>
              <w:jc w:val="center"/>
            </w:pPr>
            <w:r>
              <w:rPr>
                <w:color w:val="6B6395"/>
                <w:sz w:val="16"/>
                <w:szCs w:val="16"/>
              </w:rPr>
              <w:t xml:space="preserve">Data i podpis pracodawcy</w:t>
            </w:r>
          </w:p>
        </w:tc>
      </w:tr>
    </w:tbl>
    <w:p>
      <w:pPr>
        <w:spacing w:after="400"/>
      </w:pPr>
      <w:r>
        <w:rPr>
          <w:color w:val="191448"/>
        </w:rPr>
        <w:t xml:space="preserve"/>
      </w:r>
    </w:p>
    <w:p>
      <w:pPr>
        <w:spacing w:after="80"/>
      </w:pPr>
      <w:r>
        <w:rPr>
          <w:color w:val="6B6395"/>
          <w:sz w:val="14"/>
          <w:szCs w:val="14"/>
        </w:rPr>
        <w:t xml:space="preserve">safedesk.pl — wzór informacyjny, nie zastępuje oceny ryzyka zawodowego</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44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Tabela norm przydziału odzieży i obuwia roboczego oraz środków ochrony indywidualnej</dc:title>
  <dc:subject>Wzór dokumentu BHP</dc:subject>
  <dc:creator>SafeDesk.pl</dc:creator>
  <cp:lastModifiedBy>Un-named</cp:lastModifiedBy>
  <cp:revision>1</cp:revision>
  <dcterms:created xsi:type="dcterms:W3CDTF">2026-10-27T13:49:44.627Z</dcterms:created>
  <dcterms:modified xsi:type="dcterms:W3CDTF">2026-10-27T13:49:44.627Z</dcterms:modified>
</cp:coreProperties>
</file>

<file path=docProps/custom.xml><?xml version="1.0" encoding="utf-8"?>
<Properties xmlns="http://schemas.openxmlformats.org/officeDocument/2006/custom-properties" xmlns:vt="http://schemas.openxmlformats.org/officeDocument/2006/docPropsVTypes"/>
</file>