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/>
      </w:pPr>
      <w:r>
        <w:rPr>
          <w:color w:val="6B6395"/>
          <w:sz w:val="16"/>
          <w:szCs w:val="16"/>
        </w:rPr>
        <w:t xml:space="preserve">SafeDesk.pl — dokument obowiązkowy, stan na 2026-10-07</w:t>
      </w:r>
    </w:p>
    <w:p>
      <w:pPr>
        <w:pStyle w:val="Heading1"/>
        <w:spacing w:after="80"/>
      </w:pPr>
      <w:r>
        <w:rPr>
          <w:b/>
          <w:bCs/>
          <w:color w:val="191448"/>
          <w:sz w:val="30"/>
          <w:szCs w:val="30"/>
        </w:rPr>
        <w:t xml:space="preserve">Rejestr przeglądów okresowych sprzętu chroniącego przed upadkiem z wysokości</w:t>
      </w:r>
    </w:p>
    <w:p>
      <w:pPr>
        <w:spacing w:after="240"/>
      </w:pPr>
      <w:r>
        <w:rPr>
          <w:color w:val="6B6395"/>
          <w:sz w:val="17"/>
          <w:szCs w:val="17"/>
        </w:rPr>
        <w:t xml:space="preserve">Wzór do wypełnienia. Pola proponowane przez SafeDesk.pl; przepisy nie narzucają wzoru dokumentu. Objaśnienia: safedesk.pl/wzory/rejestr-przegladow-sprzetu-przed-upadkiem</w:t>
      </w:r>
    </w:p>
    <w:p>
      <w:pPr>
        <w:spacing w:after="120"/>
      </w:pPr>
      <w:r>
        <w:rPr>
          <w:b/>
          <w:bCs/>
          <w:color w:val="191448"/>
          <w:sz w:val="22"/>
          <w:szCs w:val="22"/>
        </w:rPr>
        <w:t xml:space="preserve">Pola dokumentu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00"/>
        <w:gridCol w:w="5400"/>
      </w:tblGrid>
      <w:tr>
        <w:trPr>
          <w:cantSplit/>
        </w:trPr>
        <w:tc>
          <w:tcPr>
            <w:tcW w:type="pct" w:w="40%"/>
            <w:tcBorders>
              <w:top w:val="single" w:color="E2DFEC" w:sz="4"/>
              <w:left w:val="none" w:color="FFFFFF" w:sz="0"/>
              <w:bottom w:val="single" w:color="E2DFEC" w:sz="4"/>
              <w:right w:val="none" w:color="FFFFFF" w:sz="0"/>
            </w:tcBorders>
          </w:tcPr>
          <w:p>
            <w:pPr>
              <w:spacing w:after="20"/>
            </w:pPr>
            <w:r>
              <w:rPr>
                <w:b/>
                <w:bCs/>
                <w:color w:val="191448"/>
                <w:sz w:val="19"/>
                <w:szCs w:val="19"/>
              </w:rPr>
              <w:t xml:space="preserve">1. Numer seryjny egzemplarza</w:t>
            </w:r>
          </w:p>
          <w:p>
            <w:pPr>
              <w:spacing w:after="60"/>
            </w:pPr>
            <w:r>
              <w:rPr>
                <w:color w:val="6B6395"/>
                <w:sz w:val="15"/>
                <w:szCs w:val="15"/>
              </w:rPr>
              <w:t xml:space="preserve">Rejestr prowadzi się per sprzęt, nie per pracownik.</w:t>
            </w:r>
          </w:p>
        </w:tc>
        <w:tc>
          <w:tcPr>
            <w:tcW w:type="pct" w:w="60%"/>
            <w:tcBorders>
              <w:top w:val="single" w:color="E2DFEC" w:sz="4"/>
              <w:left w:val="none" w:color="FFFFFF" w:sz="0"/>
              <w:bottom w:val="single" w:color="E2DFEC" w:sz="4"/>
              <w:right w:val="none" w:color="FFFFFF" w:sz="0"/>
            </w:tcBorders>
          </w:tcPr>
          <w:p>
            <w:r>
              <w:t xml:space="preserve"/>
            </w:r>
          </w:p>
        </w:tc>
      </w:tr>
      <w:tr>
        <w:trPr>
          <w:cantSplit/>
        </w:trPr>
        <w:tc>
          <w:tcPr>
            <w:tcW w:type="pct" w:w="40%"/>
            <w:tcBorders>
              <w:top w:val="single" w:color="E2DFEC" w:sz="4"/>
              <w:left w:val="none" w:color="FFFFFF" w:sz="0"/>
              <w:bottom w:val="single" w:color="E2DFEC" w:sz="4"/>
              <w:right w:val="none" w:color="FFFFFF" w:sz="0"/>
            </w:tcBorders>
          </w:tcPr>
          <w:p>
            <w:pPr>
              <w:spacing w:after="20"/>
            </w:pPr>
            <w:r>
              <w:rPr>
                <w:b/>
                <w:bCs/>
                <w:color w:val="191448"/>
                <w:sz w:val="19"/>
                <w:szCs w:val="19"/>
              </w:rPr>
              <w:t xml:space="preserve">2. Typ sprzętu i norma</w:t>
            </w:r>
          </w:p>
          <w:p>
            <w:pPr>
              <w:spacing w:after="60"/>
            </w:pPr>
            <w:r>
              <w:rPr>
                <w:color w:val="6B6395"/>
                <w:sz w:val="15"/>
                <w:szCs w:val="15"/>
              </w:rPr>
              <w:t xml:space="preserve">Szelki, amortyzator, urządzenie samohamowne, łącznik, przenośne urządzenie kotwiczące.</w:t>
            </w:r>
          </w:p>
        </w:tc>
        <w:tc>
          <w:tcPr>
            <w:tcW w:type="pct" w:w="60%"/>
            <w:tcBorders>
              <w:top w:val="single" w:color="E2DFEC" w:sz="4"/>
              <w:left w:val="none" w:color="FFFFFF" w:sz="0"/>
              <w:bottom w:val="single" w:color="E2DFEC" w:sz="4"/>
              <w:right w:val="none" w:color="FFFFFF" w:sz="0"/>
            </w:tcBorders>
          </w:tcPr>
          <w:p>
            <w:r>
              <w:t xml:space="preserve"/>
            </w:r>
          </w:p>
        </w:tc>
      </w:tr>
      <w:tr>
        <w:trPr>
          <w:cantSplit/>
        </w:trPr>
        <w:tc>
          <w:tcPr>
            <w:tcW w:type="pct" w:w="40%"/>
            <w:tcBorders>
              <w:top w:val="single" w:color="E2DFEC" w:sz="4"/>
              <w:left w:val="none" w:color="FFFFFF" w:sz="0"/>
              <w:bottom w:val="single" w:color="E2DFEC" w:sz="4"/>
              <w:right w:val="none" w:color="FFFFFF" w:sz="0"/>
            </w:tcBorders>
          </w:tcPr>
          <w:p>
            <w:pPr>
              <w:spacing w:after="20"/>
            </w:pPr>
            <w:r>
              <w:rPr>
                <w:b/>
                <w:bCs/>
                <w:color w:val="191448"/>
                <w:sz w:val="19"/>
                <w:szCs w:val="19"/>
              </w:rPr>
              <w:t xml:space="preserve">3. Data produkcji</w:t>
            </w:r>
          </w:p>
          <w:p>
            <w:pPr>
              <w:spacing w:after="60"/>
            </w:pPr>
            <w:r>
              <w:rPr>
                <w:color w:val="6B6395"/>
                <w:sz w:val="15"/>
                <w:szCs w:val="15"/>
              </w:rPr>
              <w:t xml:space="preserve">Punkt odniesienia dla okresu użytkowania z instrukcji producenta.</w:t>
            </w:r>
          </w:p>
        </w:tc>
        <w:tc>
          <w:tcPr>
            <w:tcW w:type="pct" w:w="60%"/>
            <w:tcBorders>
              <w:top w:val="single" w:color="E2DFEC" w:sz="4"/>
              <w:left w:val="none" w:color="FFFFFF" w:sz="0"/>
              <w:bottom w:val="single" w:color="E2DFEC" w:sz="4"/>
              <w:right w:val="none" w:color="FFFFFF" w:sz="0"/>
            </w:tcBorders>
          </w:tcPr>
          <w:p>
            <w:r>
              <w:t xml:space="preserve"/>
            </w:r>
          </w:p>
        </w:tc>
      </w:tr>
      <w:tr>
        <w:trPr>
          <w:cantSplit/>
        </w:trPr>
        <w:tc>
          <w:tcPr>
            <w:tcW w:type="pct" w:w="40%"/>
            <w:tcBorders>
              <w:top w:val="single" w:color="E2DFEC" w:sz="4"/>
              <w:left w:val="none" w:color="FFFFFF" w:sz="0"/>
              <w:bottom w:val="single" w:color="E2DFEC" w:sz="4"/>
              <w:right w:val="none" w:color="FFFFFF" w:sz="0"/>
            </w:tcBorders>
          </w:tcPr>
          <w:p>
            <w:pPr>
              <w:spacing w:after="20"/>
            </w:pPr>
            <w:r>
              <w:rPr>
                <w:b/>
                <w:bCs/>
                <w:color w:val="191448"/>
                <w:sz w:val="19"/>
                <w:szCs w:val="19"/>
              </w:rPr>
              <w:t xml:space="preserve">4. Data przeglądu i termin następnego</w:t>
            </w:r>
          </w:p>
          <w:p>
            <w:pPr>
              <w:spacing w:after="60"/>
            </w:pPr>
            <w:r>
              <w:rPr>
                <w:color w:val="6B6395"/>
                <w:sz w:val="15"/>
                <w:szCs w:val="15"/>
              </w:rPr>
              <w:t xml:space="preserve">Częstotliwość wg instrukcji producenta — zwykle nie rzadziej niż co 12 miesięcy.</w:t>
            </w:r>
          </w:p>
        </w:tc>
        <w:tc>
          <w:tcPr>
            <w:tcW w:type="pct" w:w="60%"/>
            <w:tcBorders>
              <w:top w:val="single" w:color="E2DFEC" w:sz="4"/>
              <w:left w:val="none" w:color="FFFFFF" w:sz="0"/>
              <w:bottom w:val="single" w:color="E2DFEC" w:sz="4"/>
              <w:right w:val="none" w:color="FFFFFF" w:sz="0"/>
            </w:tcBorders>
          </w:tcPr>
          <w:p>
            <w:r>
              <w:t xml:space="preserve"/>
            </w:r>
          </w:p>
        </w:tc>
      </w:tr>
      <w:tr>
        <w:trPr>
          <w:cantSplit/>
        </w:trPr>
        <w:tc>
          <w:tcPr>
            <w:tcW w:type="pct" w:w="40%"/>
            <w:tcBorders>
              <w:top w:val="single" w:color="E2DFEC" w:sz="4"/>
              <w:left w:val="none" w:color="FFFFFF" w:sz="0"/>
              <w:bottom w:val="single" w:color="E2DFEC" w:sz="4"/>
              <w:right w:val="none" w:color="FFFFFF" w:sz="0"/>
            </w:tcBorders>
          </w:tcPr>
          <w:p>
            <w:pPr>
              <w:spacing w:after="20"/>
            </w:pPr>
            <w:r>
              <w:rPr>
                <w:b/>
                <w:bCs/>
                <w:color w:val="191448"/>
                <w:sz w:val="19"/>
                <w:szCs w:val="19"/>
              </w:rPr>
              <w:t xml:space="preserve">5. Osoba wykonująca przegląd</w:t>
            </w:r>
          </w:p>
          <w:p>
            <w:pPr>
              <w:spacing w:after="60"/>
            </w:pPr>
            <w:r>
              <w:rPr>
                <w:color w:val="6B6395"/>
                <w:sz w:val="15"/>
                <w:szCs w:val="15"/>
              </w:rPr>
              <w:t xml:space="preserve">Osoba kompetentna wskazana w instrukcji producenta (EN 365).</w:t>
            </w:r>
          </w:p>
        </w:tc>
        <w:tc>
          <w:tcPr>
            <w:tcW w:type="pct" w:w="60%"/>
            <w:tcBorders>
              <w:top w:val="single" w:color="E2DFEC" w:sz="4"/>
              <w:left w:val="none" w:color="FFFFFF" w:sz="0"/>
              <w:bottom w:val="single" w:color="E2DFEC" w:sz="4"/>
              <w:right w:val="none" w:color="FFFFFF" w:sz="0"/>
            </w:tcBorders>
          </w:tcPr>
          <w:p>
            <w:r>
              <w:t xml:space="preserve"/>
            </w:r>
          </w:p>
        </w:tc>
      </w:tr>
      <w:tr>
        <w:trPr>
          <w:cantSplit/>
        </w:trPr>
        <w:tc>
          <w:tcPr>
            <w:tcW w:type="pct" w:w="40%"/>
            <w:tcBorders>
              <w:top w:val="single" w:color="E2DFEC" w:sz="4"/>
              <w:left w:val="none" w:color="FFFFFF" w:sz="0"/>
              <w:bottom w:val="single" w:color="E2DFEC" w:sz="4"/>
              <w:right w:val="none" w:color="FFFFFF" w:sz="0"/>
            </w:tcBorders>
          </w:tcPr>
          <w:p>
            <w:pPr>
              <w:spacing w:after="20"/>
            </w:pPr>
            <w:r>
              <w:rPr>
                <w:b/>
                <w:bCs/>
                <w:color w:val="191448"/>
                <w:sz w:val="19"/>
                <w:szCs w:val="19"/>
              </w:rPr>
              <w:t xml:space="preserve">6. Wynik przeglądu</w:t>
            </w:r>
          </w:p>
          <w:p>
            <w:pPr>
              <w:spacing w:after="60"/>
            </w:pPr>
            <w:r>
              <w:rPr>
                <w:color w:val="6B6395"/>
                <w:sz w:val="15"/>
                <w:szCs w:val="15"/>
              </w:rPr>
              <w:t xml:space="preserve">Dopuszczony do użytku, do naprawy albo wycofany.</w:t>
            </w:r>
          </w:p>
        </w:tc>
        <w:tc>
          <w:tcPr>
            <w:tcW w:type="pct" w:w="60%"/>
            <w:tcBorders>
              <w:top w:val="single" w:color="E2DFEC" w:sz="4"/>
              <w:left w:val="none" w:color="FFFFFF" w:sz="0"/>
              <w:bottom w:val="single" w:color="E2DFEC" w:sz="4"/>
              <w:right w:val="none" w:color="FFFFFF" w:sz="0"/>
            </w:tcBorders>
          </w:tcPr>
          <w:p>
            <w:r>
              <w:t xml:space="preserve"/>
            </w:r>
          </w:p>
        </w:tc>
      </w:tr>
      <w:tr>
        <w:trPr>
          <w:cantSplit/>
        </w:trPr>
        <w:tc>
          <w:tcPr>
            <w:tcW w:type="pct" w:w="40%"/>
            <w:tcBorders>
              <w:top w:val="single" w:color="E2DFEC" w:sz="4"/>
              <w:left w:val="none" w:color="FFFFFF" w:sz="0"/>
              <w:bottom w:val="single" w:color="E2DFEC" w:sz="4"/>
              <w:right w:val="none" w:color="FFFFFF" w:sz="0"/>
            </w:tcBorders>
          </w:tcPr>
          <w:p>
            <w:pPr>
              <w:spacing w:after="20"/>
            </w:pPr>
            <w:r>
              <w:rPr>
                <w:b/>
                <w:bCs/>
                <w:color w:val="191448"/>
                <w:sz w:val="19"/>
                <w:szCs w:val="19"/>
              </w:rPr>
              <w:t xml:space="preserve">7. Zdarzenia nadzwyczajne</w:t>
            </w:r>
          </w:p>
          <w:p>
            <w:pPr>
              <w:spacing w:after="60"/>
            </w:pPr>
            <w:r>
              <w:rPr>
                <w:color w:val="6B6395"/>
                <w:sz w:val="15"/>
                <w:szCs w:val="15"/>
              </w:rPr>
              <w:t xml:space="preserve">Powstrzymanie upadku oznacza natychmiastowe wycofanie z użytku; ponowne użycie tylko po pisemnej zgodzie osoby kompetentnej, o ile instrukcja producenta na to pozwala.</w:t>
            </w:r>
          </w:p>
        </w:tc>
        <w:tc>
          <w:tcPr>
            <w:tcW w:type="pct" w:w="60%"/>
            <w:tcBorders>
              <w:top w:val="single" w:color="E2DFEC" w:sz="4"/>
              <w:left w:val="none" w:color="FFFFFF" w:sz="0"/>
              <w:bottom w:val="single" w:color="E2DFEC" w:sz="4"/>
              <w:right w:val="none" w:color="FFFFFF" w:sz="0"/>
            </w:tcBorders>
          </w:tcPr>
          <w:p>
            <w:r>
              <w:t xml:space="preserve"/>
            </w:r>
          </w:p>
        </w:tc>
      </w:tr>
    </w:tbl>
    <w:p>
      <w:pPr>
        <w:spacing w:after="200"/>
      </w:pPr>
      <w:r>
        <w:rPr>
          <w:color w:val="191448"/>
        </w:rPr>
        <w:t xml:space="preserve"/>
      </w:r>
    </w:p>
    <w:p>
      <w:pPr>
        <w:spacing w:after="40"/>
      </w:pPr>
      <w:r>
        <w:rPr>
          <w:b/>
          <w:bCs/>
          <w:color w:val="191448"/>
          <w:sz w:val="18"/>
          <w:szCs w:val="18"/>
        </w:rPr>
        <w:t xml:space="preserve">Kto podpisuje</w:t>
      </w:r>
    </w:p>
    <w:p>
      <w:pPr>
        <w:spacing w:after="160"/>
      </w:pPr>
      <w:r>
        <w:rPr>
          <w:color w:val="191448"/>
          <w:sz w:val="18"/>
          <w:szCs w:val="18"/>
        </w:rPr>
        <w:t xml:space="preserve">Osoba kompetentna wykonująca przegląd; rejestr prowadzi wyznaczona komórka po stronie pracodawcy.</w:t>
      </w:r>
    </w:p>
    <w:p>
      <w:pPr>
        <w:spacing w:after="40"/>
      </w:pPr>
      <w:r>
        <w:rPr>
          <w:b/>
          <w:bCs/>
          <w:color w:val="191448"/>
          <w:sz w:val="18"/>
          <w:szCs w:val="18"/>
        </w:rPr>
        <w:t xml:space="preserve">Okres przechowywania</w:t>
      </w:r>
    </w:p>
    <w:p>
      <w:pPr>
        <w:spacing w:after="160"/>
      </w:pPr>
      <w:r>
        <w:rPr>
          <w:color w:val="191448"/>
          <w:sz w:val="18"/>
          <w:szCs w:val="18"/>
        </w:rPr>
        <w:t xml:space="preserve">Przez cały okres użytkowania egzemplarza i po jego wycofaniu — na potrzeby dowodowe w razie zdarzenia wypadkowego.</w:t>
      </w:r>
    </w:p>
    <w:p>
      <w:pPr>
        <w:spacing w:after="40"/>
      </w:pPr>
      <w:r>
        <w:rPr>
          <w:b/>
          <w:bCs/>
          <w:color w:val="191448"/>
          <w:sz w:val="18"/>
          <w:szCs w:val="18"/>
        </w:rPr>
        <w:t xml:space="preserve">Podstawa prawna</w:t>
      </w:r>
    </w:p>
    <w:p>
      <w:pPr>
        <w:spacing w:after="40"/>
      </w:pPr>
      <w:r>
        <w:rPr>
          <w:color w:val="6B6395"/>
          <w:sz w:val="16"/>
          <w:szCs w:val="16"/>
        </w:rPr>
        <w:t xml:space="preserve">• Rozporządzenie MPiPS z 26.09.1997 (ogólne przepisy bhp), zał. nr 2 § 3 ust. 3 (t.j. Dz.U. 2003 nr 169 poz. 1650 ze zm.; zał. nr 2 w brzmieniu Dz.U. 2021 poz. 2088)</w:t>
      </w:r>
    </w:p>
    <w:p>
      <w:pPr>
        <w:spacing w:after="40"/>
      </w:pPr>
      <w:r>
        <w:rPr>
          <w:color w:val="6B6395"/>
          <w:sz w:val="16"/>
          <w:szCs w:val="16"/>
        </w:rPr>
        <w:t xml:space="preserve">• Rozporządzenie MPiPS z 26.09.1997 (ogólne przepisy bhp), § 105 ust. 1 i 2 (t.j. Dz.U. 2003 nr 169 poz. 1650 ze zm.)</w:t>
      </w:r>
    </w:p>
    <w:p>
      <w:pPr>
        <w:spacing w:after="40"/>
      </w:pPr>
      <w:r>
        <w:rPr>
          <w:color w:val="6B6395"/>
          <w:sz w:val="16"/>
          <w:szCs w:val="16"/>
        </w:rPr>
        <w:t xml:space="preserve">• Kodeks pracy, art. 237⁹ § 2 (t.j. Dz.U. 2026 poz. 1245)</w:t>
      </w:r>
    </w:p>
    <w:p>
      <w:pPr>
        <w:spacing w:after="40"/>
      </w:pPr>
      <w:r>
        <w:rPr>
          <w:color w:val="6B6395"/>
          <w:sz w:val="16"/>
          <w:szCs w:val="16"/>
        </w:rPr>
        <w:t xml:space="preserve">• Rozporządzenie Parlamentu Europejskiego i Rady (UE) 2016/425 w sprawie środków ochrony indywidualnej, art. 8 ust. 7, art. 17 ust. 3, art. 19, zał. II pkt 1.4 i 2.4 (Dz.Urz. UE L 81 z 31.03.2016; stosowane od 21.04.2018; uchyliło dyrektywę 89/686/EWG)</w:t>
      </w:r>
    </w:p>
    <w:p>
      <w:pPr>
        <w:spacing w:after="600"/>
      </w:pPr>
      <w:r>
        <w:rPr>
          <w:color w:val="191448"/>
        </w:rPr>
        <w:t xml:space="preserve"/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45%"/>
            <w:tcBorders>
              <w:top w:val="single" w:color="191448" w:sz="6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color w:val="6B6395"/>
                <w:sz w:val="16"/>
                <w:szCs w:val="16"/>
              </w:rPr>
              <w:t xml:space="preserve">Data i podpis pracownika</w:t>
            </w:r>
          </w:p>
        </w:tc>
        <w:tc>
          <w:tcPr>
            <w:tcW w:type="pct" w:w="1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t xml:space="preserve"/>
            </w:r>
          </w:p>
        </w:tc>
        <w:tc>
          <w:tcPr>
            <w:tcW w:type="pct" w:w="45%"/>
            <w:tcBorders>
              <w:top w:val="single" w:color="191448" w:sz="6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color w:val="6B6395"/>
                <w:sz w:val="16"/>
                <w:szCs w:val="16"/>
              </w:rPr>
              <w:t xml:space="preserve">Data i podpis pracodawcy</w:t>
            </w:r>
          </w:p>
        </w:tc>
      </w:tr>
    </w:tbl>
    <w:p>
      <w:pPr>
        <w:spacing w:after="400"/>
      </w:pPr>
      <w:r>
        <w:rPr>
          <w:color w:val="191448"/>
        </w:rPr>
        <w:t xml:space="preserve"/>
      </w:r>
    </w:p>
    <w:p>
      <w:pPr>
        <w:spacing w:after="80"/>
      </w:pPr>
      <w:r>
        <w:rPr>
          <w:color w:val="6B6395"/>
          <w:sz w:val="14"/>
          <w:szCs w:val="14"/>
        </w:rPr>
        <w:t xml:space="preserve">safedesk.pl — wzór informacyjny, nie zastępuje oceny ryzyka zawodowego</w:t>
      </w:r>
    </w:p>
    <w:sectPr>
      <w:pgSz w:w="11906" w:h="16838" w:orient="portrait"/>
      <w:pgMar w:top="1000" w:right="1000" w:bottom="1000" w:left="10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91448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Rejestr przeglądów okresowych sprzętu chroniącego przed upadkiem z wysokości</dc:title>
  <dc:subject>Wzór dokumentu BHP</dc:subject>
  <dc:creator>SafeDesk.pl</dc:creator>
  <cp:lastModifiedBy>Un-named</cp:lastModifiedBy>
  <cp:revision>1</cp:revision>
  <dcterms:created xsi:type="dcterms:W3CDTF">2026-10-27T13:49:44.996Z</dcterms:created>
  <dcterms:modified xsi:type="dcterms:W3CDTF">2026-10-27T13:49:44.996Z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